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50C856B9"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w:t>
      </w:r>
      <w:r w:rsidR="00B139C0">
        <w:rPr>
          <w:rFonts w:ascii="Garamond" w:hAnsi="Garamond"/>
          <w:b/>
          <w:bCs/>
          <w:snapToGrid w:val="0"/>
          <w:color w:val="000000" w:themeColor="text1"/>
          <w:sz w:val="24"/>
          <w:szCs w:val="24"/>
          <w:lang w:val="en-US"/>
        </w:rPr>
        <w:t>5</w:t>
      </w:r>
      <w:r w:rsidR="00BD2722">
        <w:rPr>
          <w:rFonts w:ascii="Garamond" w:hAnsi="Garamond"/>
          <w:b/>
          <w:bCs/>
          <w:snapToGrid w:val="0"/>
          <w:color w:val="000000" w:themeColor="text1"/>
          <w:sz w:val="24"/>
          <w:szCs w:val="24"/>
          <w:lang w:val="en-US"/>
        </w:rPr>
        <w:t>-5</w:t>
      </w:r>
      <w:r w:rsidR="00B139C0">
        <w:rPr>
          <w:rFonts w:ascii="Garamond" w:hAnsi="Garamond"/>
          <w:b/>
          <w:bCs/>
          <w:snapToGrid w:val="0"/>
          <w:color w:val="000000" w:themeColor="text1"/>
          <w:sz w:val="24"/>
          <w:szCs w:val="24"/>
          <w:lang w:val="en-US"/>
        </w:rPr>
        <w:t>1</w:t>
      </w:r>
      <w:r w:rsidR="00BD2722">
        <w:rPr>
          <w:rFonts w:ascii="Garamond" w:hAnsi="Garamond"/>
          <w:b/>
          <w:bCs/>
          <w:snapToGrid w:val="0"/>
          <w:color w:val="000000" w:themeColor="text1"/>
          <w:sz w:val="24"/>
          <w:szCs w:val="24"/>
          <w:lang w:val="en-US"/>
        </w:rPr>
        <w:t>_AO</w:t>
      </w:r>
      <w:r w:rsidR="00B139C0">
        <w:rPr>
          <w:rFonts w:ascii="Garamond" w:hAnsi="Garamond"/>
          <w:b/>
          <w:bCs/>
          <w:snapToGrid w:val="0"/>
          <w:color w:val="000000" w:themeColor="text1"/>
          <w:sz w:val="24"/>
          <w:szCs w:val="24"/>
          <w:lang w:val="en-US"/>
        </w:rPr>
        <w:t>3</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B139C0" w:rsidRPr="00B139C0">
        <w:rPr>
          <w:rFonts w:ascii="Garamond" w:hAnsi="Garamond"/>
          <w:b/>
          <w:bCs/>
          <w:snapToGrid w:val="0"/>
          <w:color w:val="000000" w:themeColor="text1"/>
          <w:sz w:val="24"/>
          <w:szCs w:val="24"/>
          <w:lang w:val="en-GB"/>
        </w:rPr>
        <w:t>Supply of B6 armored vehicles and related services to the Jordan Armed Forces</w:t>
      </w:r>
      <w:r w:rsidR="00592CD1" w:rsidRPr="00592CD1">
        <w:rPr>
          <w:rFonts w:ascii="Garamond" w:hAnsi="Garamond"/>
          <w:b/>
          <w:bCs/>
          <w:snapToGrid w:val="0"/>
          <w:color w:val="000000" w:themeColor="text1"/>
          <w:sz w:val="24"/>
          <w:szCs w:val="24"/>
          <w:lang w:val="en-US"/>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9EDA" w14:textId="77777777" w:rsidR="00ED7466" w:rsidRDefault="00ED7466">
      <w:r>
        <w:separator/>
      </w:r>
    </w:p>
  </w:endnote>
  <w:endnote w:type="continuationSeparator" w:id="0">
    <w:p w14:paraId="3763638C" w14:textId="77777777" w:rsidR="00ED7466" w:rsidRDefault="00ED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18E7" w14:textId="77777777" w:rsidR="00ED7466" w:rsidRDefault="00ED7466">
      <w:r>
        <w:separator/>
      </w:r>
    </w:p>
  </w:footnote>
  <w:footnote w:type="continuationSeparator" w:id="0">
    <w:p w14:paraId="2227344E" w14:textId="77777777" w:rsidR="00ED7466" w:rsidRDefault="00ED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84BAA"/>
    <w:rsid w:val="00292686"/>
    <w:rsid w:val="004E6ED8"/>
    <w:rsid w:val="00531AAD"/>
    <w:rsid w:val="00592CD1"/>
    <w:rsid w:val="00657D14"/>
    <w:rsid w:val="00664837"/>
    <w:rsid w:val="006E1770"/>
    <w:rsid w:val="00790C62"/>
    <w:rsid w:val="00834739"/>
    <w:rsid w:val="008D4585"/>
    <w:rsid w:val="00981ECF"/>
    <w:rsid w:val="00982C32"/>
    <w:rsid w:val="00AD3181"/>
    <w:rsid w:val="00B139C0"/>
    <w:rsid w:val="00B824A9"/>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9319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2025-08-26T13:43:00Z</cp:lastPrinted>
  <dcterms:created xsi:type="dcterms:W3CDTF">2025-12-16T18:33:00Z</dcterms:created>
  <dcterms:modified xsi:type="dcterms:W3CDTF">2025-12-17T17:18:00Z</dcterms:modified>
</cp:coreProperties>
</file>